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Style w:val="Strong"/>
          <w:rFonts w:ascii="Helvetica" w:hAnsi="Helvetica" w:cs="Helvetica"/>
          <w:color w:val="333333"/>
          <w:sz w:val="23"/>
          <w:szCs w:val="23"/>
          <w:shd w:val="clear" w:color="auto" w:fill="FFFFFF"/>
        </w:rPr>
        <w:t>Equal Opportunities Statement</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The National Crime Officers Association (NCOA) is committed to providing equality of opportunity in terms of all of its membership.</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This statement applies to all members, regardless of race, gender, marital status, colour, nationality, religious belief, ethnic or national origin, sexual orientation, age or disability. The NCOA will respect and encourage equal opportunities and diversity in accordance with the Equality Act 2010.</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Within all NCOA matters, equality of opportunity will extend to all issues affecting recruitment, retention, membership and training, including terms and conditions of service. NCOA selection criteria, systems and procedures for elections will be kept under review, to ensure that individuals are selected objectively and fairly.</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The NCOA National Executive Committee is committed to this policy and to the development of positive action initiatives to ensure that this policy statement is, and continues to be fully effective. The main aim of the NCOA is to provide an environment where each member is recognised, valued and accepted equally.</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Every effort will be made to ensure that fair non- discriminatory practices are applied to and by all members in their dealings with each other.</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All members of the NCOA must be aware of their obligations under Anti-discrimination legislation and particularly the legal requirement that individuals shall not unlawfully discriminate, aid, instruct nor induce others to do so. Eliminating discrimination and </w:t>
      </w:r>
      <w:bookmarkStart w:id="0" w:name="_GoBack"/>
      <w:bookmarkEnd w:id="0"/>
      <w:r>
        <w:rPr>
          <w:rFonts w:ascii="Helvetica" w:hAnsi="Helvetica" w:cs="Helvetica"/>
          <w:color w:val="333333"/>
          <w:sz w:val="23"/>
          <w:szCs w:val="23"/>
        </w:rPr>
        <w:t>providing equality of opportunity depends upon personal commitment and all members, without exception, shall observe these principles. NCOA training courses and other sources of information will be provided where appropriate, to broaden and promote a greater understanding and awareness of these issues and personal responsibilities.</w:t>
      </w:r>
    </w:p>
    <w:p w:rsidR="00F41835" w:rsidRDefault="00F41835" w:rsidP="00F41835">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The National Executive Committee seeks to ensure that no member of the NCOA is victimised or subjected to racial, sexual, or any other form of harassment, and that every member feels free from intimidation or discrimination. Individuals who believe that they have grounds for complaint in relation to discrimination, harassment or bullying should refer to the NCOA Constitution on Discipline or the National Crime Agency Fair Treatment at work policy.</w:t>
      </w:r>
    </w:p>
    <w:p w:rsidR="005460FA" w:rsidRDefault="005460FA"/>
    <w:sectPr w:rsidR="00546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35"/>
    <w:rsid w:val="005460FA"/>
    <w:rsid w:val="00F4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18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Membership</dc:creator>
  <cp:lastModifiedBy>Membership</cp:lastModifiedBy>
  <cp:revision>1</cp:revision>
  <dcterms:created xsi:type="dcterms:W3CDTF">2016-08-11T10:12:00Z</dcterms:created>
  <dcterms:modified xsi:type="dcterms:W3CDTF">2016-08-11T10:13:00Z</dcterms:modified>
</cp:coreProperties>
</file>